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F6" w:rsidRPr="00EB7DD5" w:rsidRDefault="00DC38F6" w:rsidP="00DC38F6">
      <w:pPr>
        <w:pStyle w:val="Textoindependiente"/>
        <w:tabs>
          <w:tab w:val="left" w:pos="6022"/>
        </w:tabs>
        <w:kinsoku w:val="0"/>
        <w:overflowPunct w:val="0"/>
        <w:ind w:left="0" w:right="49"/>
        <w:jc w:val="both"/>
        <w:rPr>
          <w:sz w:val="22"/>
          <w:szCs w:val="22"/>
        </w:rPr>
      </w:pPr>
    </w:p>
    <w:p w:rsidR="00DC38F6" w:rsidRDefault="00DC38F6" w:rsidP="00DC38F6">
      <w:pPr>
        <w:jc w:val="center"/>
      </w:pPr>
      <w:r w:rsidRPr="00237099">
        <w:rPr>
          <w:b/>
          <w:bCs/>
        </w:rPr>
        <w:t>ASAMBLEA NACIONAL</w:t>
      </w:r>
    </w:p>
    <w:p w:rsidR="00DC38F6" w:rsidRPr="00EB7DD5" w:rsidRDefault="00DC38F6" w:rsidP="00DC38F6">
      <w:pPr>
        <w:ind w:right="49"/>
        <w:jc w:val="both"/>
        <w:rPr>
          <w:lang w:val="es-ES"/>
        </w:rPr>
      </w:pPr>
    </w:p>
    <w:p w:rsidR="00237099" w:rsidRDefault="00237099" w:rsidP="00237099">
      <w:pPr>
        <w:jc w:val="center"/>
      </w:pPr>
      <w:r w:rsidRPr="00237099">
        <w:rPr>
          <w:b/>
          <w:bCs/>
        </w:rPr>
        <w:t>Digesto Jurídico Nicaragüense de la Materia Civil</w:t>
      </w:r>
    </w:p>
    <w:p w:rsidR="00237099" w:rsidRDefault="00237099" w:rsidP="00237099">
      <w:pPr>
        <w:jc w:val="both"/>
      </w:pPr>
    </w:p>
    <w:p w:rsidR="00237099" w:rsidRDefault="00237099" w:rsidP="00237099">
      <w:pPr>
        <w:jc w:val="both"/>
      </w:pPr>
      <w:r w:rsidRPr="00237099">
        <w:t xml:space="preserve">El presente texto contiene incorporadas todas sus modificaciones consolidadas al </w:t>
      </w:r>
      <w:r w:rsidR="008730D5">
        <w:t>25</w:t>
      </w:r>
      <w:r w:rsidR="00687784">
        <w:t xml:space="preserve"> de noviembre del 2021</w:t>
      </w:r>
      <w:r w:rsidRPr="00237099">
        <w:t xml:space="preserve">, de la Ley N°. 139, Ley que da Mayor Utilidad a la Institución del Notariado, aprobada el 14 de enero de 1992 y publicada en La Gaceta, Diario Oficial N°. 36 del 24 de febrero de 1992, y se ordena su publicación en La Gaceta, Diario Oficial, conforme la Ley N°. 963, Ley del Digesto Jurídico Nicaragüense, publicada en La Gaceta, Diario Oficial N°. 203 del 25 de octubre de 2017 y la Ley N°. </w:t>
      </w:r>
      <w:r w:rsidR="00D06780">
        <w:t>1096</w:t>
      </w:r>
      <w:r w:rsidR="001A0544">
        <w:t xml:space="preserve">, Ley del Digesto </w:t>
      </w:r>
      <w:r w:rsidR="00877037">
        <w:t>Jurídico</w:t>
      </w:r>
      <w:r w:rsidR="001A0544">
        <w:t xml:space="preserve"> de la </w:t>
      </w:r>
      <w:r w:rsidR="00632C31">
        <w:t>M</w:t>
      </w:r>
      <w:r w:rsidR="001A0544">
        <w:t>ateria Civil</w:t>
      </w:r>
      <w:r w:rsidRPr="00237099">
        <w:t xml:space="preserve">, aprobada el </w:t>
      </w:r>
      <w:r w:rsidR="00877037">
        <w:t>25</w:t>
      </w:r>
      <w:r w:rsidRPr="00237099">
        <w:t xml:space="preserve"> de</w:t>
      </w:r>
      <w:r w:rsidR="00877037">
        <w:t xml:space="preserve"> noviembre </w:t>
      </w:r>
      <w:r w:rsidRPr="00237099">
        <w:t xml:space="preserve">de </w:t>
      </w:r>
      <w:r w:rsidR="00877037">
        <w:t>2021</w:t>
      </w:r>
      <w:r w:rsidRPr="00D407E4">
        <w:rPr>
          <w:bCs/>
        </w:rPr>
        <w:t>.</w:t>
      </w:r>
      <w:r w:rsidRPr="00237099">
        <w:t xml:space="preserve"> </w:t>
      </w:r>
    </w:p>
    <w:p w:rsidR="00237099" w:rsidRDefault="00237099" w:rsidP="00237099">
      <w:pPr>
        <w:jc w:val="both"/>
        <w:rPr>
          <w:b/>
          <w:bCs/>
        </w:rPr>
      </w:pPr>
    </w:p>
    <w:p w:rsidR="00237099" w:rsidRDefault="00237099" w:rsidP="00237099">
      <w:pPr>
        <w:jc w:val="center"/>
      </w:pPr>
      <w:r w:rsidRPr="00237099">
        <w:rPr>
          <w:b/>
          <w:bCs/>
        </w:rPr>
        <w:t>Ley que da Mayor Utilidad a la Institución del Notariado</w:t>
      </w:r>
    </w:p>
    <w:p w:rsidR="00237099" w:rsidRDefault="00237099" w:rsidP="00237099">
      <w:pPr>
        <w:jc w:val="center"/>
      </w:pPr>
    </w:p>
    <w:p w:rsidR="00237099" w:rsidRDefault="00237099" w:rsidP="00237099">
      <w:pPr>
        <w:jc w:val="center"/>
      </w:pPr>
      <w:r w:rsidRPr="00237099">
        <w:rPr>
          <w:b/>
          <w:bCs/>
        </w:rPr>
        <w:t>LEY N°. 139</w:t>
      </w:r>
    </w:p>
    <w:p w:rsidR="00237099" w:rsidRDefault="00237099" w:rsidP="00237099">
      <w:pPr>
        <w:jc w:val="center"/>
      </w:pPr>
    </w:p>
    <w:p w:rsidR="00237099" w:rsidRDefault="00237099" w:rsidP="00237099">
      <w:pPr>
        <w:jc w:val="center"/>
        <w:rPr>
          <w:b/>
          <w:bCs/>
        </w:rPr>
      </w:pPr>
      <w:r w:rsidRPr="00237099">
        <w:rPr>
          <w:b/>
          <w:bCs/>
        </w:rPr>
        <w:t>LA ASAMBLEA NACIONAL DE LA REPÚBLICA DE NICARAGUA</w:t>
      </w:r>
    </w:p>
    <w:p w:rsidR="00237099" w:rsidRDefault="00237099" w:rsidP="00237099">
      <w:pPr>
        <w:jc w:val="center"/>
        <w:rPr>
          <w:b/>
          <w:bCs/>
        </w:rPr>
      </w:pPr>
    </w:p>
    <w:p w:rsidR="00237099" w:rsidRDefault="00237099" w:rsidP="00237099">
      <w:pPr>
        <w:jc w:val="both"/>
      </w:pPr>
      <w:r w:rsidRPr="00237099">
        <w:t xml:space="preserve">En uso de sus facultades: </w:t>
      </w:r>
    </w:p>
    <w:p w:rsidR="00237099" w:rsidRDefault="00237099" w:rsidP="00237099">
      <w:pPr>
        <w:jc w:val="both"/>
      </w:pPr>
    </w:p>
    <w:p w:rsidR="00237099" w:rsidRDefault="00237099" w:rsidP="009F0A5D">
      <w:pPr>
        <w:jc w:val="center"/>
      </w:pPr>
      <w:r w:rsidRPr="00237099">
        <w:t>Ha dictado</w:t>
      </w:r>
    </w:p>
    <w:p w:rsidR="00237099" w:rsidRDefault="00237099" w:rsidP="00237099">
      <w:pPr>
        <w:jc w:val="both"/>
      </w:pPr>
    </w:p>
    <w:p w:rsidR="00237099" w:rsidRDefault="00237099" w:rsidP="00237099">
      <w:pPr>
        <w:jc w:val="both"/>
      </w:pPr>
      <w:r w:rsidRPr="00237099">
        <w:t xml:space="preserve">La siguiente: </w:t>
      </w:r>
    </w:p>
    <w:p w:rsidR="00237099" w:rsidRDefault="00237099" w:rsidP="00237099">
      <w:pPr>
        <w:jc w:val="both"/>
      </w:pPr>
    </w:p>
    <w:p w:rsidR="00237099" w:rsidRDefault="00237099" w:rsidP="00237099">
      <w:pPr>
        <w:jc w:val="center"/>
      </w:pPr>
      <w:r>
        <w:rPr>
          <w:rStyle w:val="inline"/>
          <w:b/>
          <w:bCs/>
        </w:rPr>
        <w:t>LEY QUE DA MAYOR UTILIDAD</w:t>
      </w:r>
      <w:r w:rsidR="00193AC3">
        <w:rPr>
          <w:rStyle w:val="inline"/>
          <w:b/>
          <w:bCs/>
        </w:rPr>
        <w:t xml:space="preserve"> A LA INSTITUCIÓN DEL NOTARIADO</w:t>
      </w:r>
    </w:p>
    <w:p w:rsidR="00237099" w:rsidRDefault="00237099" w:rsidP="00237099">
      <w:pPr>
        <w:jc w:val="both"/>
      </w:pPr>
    </w:p>
    <w:p w:rsidR="00237099" w:rsidRDefault="00237099" w:rsidP="00DC38F6">
      <w:pPr>
        <w:ind w:left="1418" w:hanging="1418"/>
        <w:jc w:val="both"/>
      </w:pPr>
      <w:r w:rsidRPr="00237099">
        <w:rPr>
          <w:b/>
          <w:bCs/>
        </w:rPr>
        <w:t>Artículo 1</w:t>
      </w:r>
      <w:r w:rsidRPr="00237099">
        <w:t xml:space="preserve"> </w:t>
      </w:r>
      <w:r w:rsidR="00DC38F6">
        <w:tab/>
      </w:r>
      <w:r w:rsidRPr="00237099">
        <w:t xml:space="preserve">Sin perjuicio y conforme </w:t>
      </w:r>
      <w:r w:rsidRPr="00846823">
        <w:rPr>
          <w:color w:val="000000" w:themeColor="text1"/>
        </w:rPr>
        <w:t>lo mandatado</w:t>
      </w:r>
      <w:r w:rsidRPr="00237099">
        <w:t xml:space="preserve"> en la Ley N°. 870, Código de Familia, en lo que fuere aplicable, los que quieran contraer matrimonio, podrán acudir ante un Notario Público Autorizado, del domicilio de cualquiera de los contrayentes. El Notario procederá apegándose a las disposiciones pertinentes al Código de Familia, en lo que le fuere aplicable. Levantará y custodiará las diligencias previas al acto matrimonial, y formalizará el matrimonio levantando el acta correspondiente en un Libro Especial que para tal efecto le entregará la Corte Suprema de Justicia. El Notario guardará y conservará este libro en la misma forma y condiciones como lo hace con su Protocolo, de acuerdo a la ley, pudiendo librar las certificaciones que las partes le pidieren, y así mismo en la forma y condiciones que envía a la Corte Suprema</w:t>
      </w:r>
      <w:r w:rsidR="00EB7517">
        <w:t xml:space="preserve"> </w:t>
      </w:r>
      <w:r w:rsidR="00EB7517" w:rsidRPr="00846823">
        <w:rPr>
          <w:color w:val="000000" w:themeColor="text1"/>
        </w:rPr>
        <w:t>de Justicia</w:t>
      </w:r>
      <w:r w:rsidRPr="00237099">
        <w:t xml:space="preserve">, índice de su Protocolo cada año, enviará un índice de los matrimonios autorizados. El mismo día de la celebración del matrimonio, el Notario deberá entregar a cualquiera de los contrayentes un aviso circunstanciado para inscribirse en el Registro del Estado Civil de las Personas que corresponda, en la misma forma y condiciones que lo hace el </w:t>
      </w:r>
      <w:r w:rsidRPr="001320FE">
        <w:t xml:space="preserve">Juez Civil. </w:t>
      </w:r>
      <w:r w:rsidRPr="00237099">
        <w:t xml:space="preserve">La responsabilidad del Notario autorizante será la misma que la del Juez y se exigirá en la misma forma. </w:t>
      </w:r>
    </w:p>
    <w:p w:rsidR="00237099" w:rsidRDefault="00237099" w:rsidP="00237099">
      <w:pPr>
        <w:jc w:val="both"/>
      </w:pPr>
    </w:p>
    <w:p w:rsidR="00237099" w:rsidRDefault="00237099" w:rsidP="00DC38F6">
      <w:pPr>
        <w:ind w:left="1418" w:hanging="1418"/>
        <w:jc w:val="both"/>
      </w:pPr>
      <w:r w:rsidRPr="00237099">
        <w:rPr>
          <w:b/>
          <w:bCs/>
        </w:rPr>
        <w:lastRenderedPageBreak/>
        <w:t>Artículo 2</w:t>
      </w:r>
      <w:r w:rsidRPr="00237099">
        <w:t xml:space="preserve"> </w:t>
      </w:r>
      <w:r w:rsidR="00DC38F6">
        <w:tab/>
      </w:r>
      <w:r w:rsidRPr="00237099">
        <w:t xml:space="preserve">Si una certificación del Registro del Estado Civil de las Personas contuviera un error evidente que se constatare con la simple lectura de la misma, el interesado podrá hacer la rectificación en escritura pública ante el Notario, insertando la partida y declaración del interesado, detallando el error evidente. El testimonio será anotado en el Libro correspondiente del Registro del Estado Civil, poniendo razón al margen de la partida. </w:t>
      </w:r>
    </w:p>
    <w:p w:rsidR="00237099" w:rsidRDefault="00237099" w:rsidP="00237099">
      <w:pPr>
        <w:jc w:val="both"/>
      </w:pPr>
    </w:p>
    <w:p w:rsidR="00237099" w:rsidRDefault="00237099" w:rsidP="00DC38F6">
      <w:pPr>
        <w:ind w:left="1418" w:hanging="1418"/>
        <w:jc w:val="both"/>
      </w:pPr>
      <w:r w:rsidRPr="00237099">
        <w:rPr>
          <w:b/>
          <w:bCs/>
        </w:rPr>
        <w:t>Artículo 3</w:t>
      </w:r>
      <w:r w:rsidRPr="00237099">
        <w:t xml:space="preserve"> </w:t>
      </w:r>
      <w:r w:rsidR="00DC38F6">
        <w:tab/>
      </w:r>
      <w:r w:rsidRPr="00237099">
        <w:t xml:space="preserve">La persona que hubiere usado constante y públicamente nombre propio distinto del que aparece en su partida de nacimiento, o usare nombre incompleto, podrá pedir ante un Notario, su identificación. El Notario levantará acta notarial en su Protocolo, recibiendo la declaración del interesado y la prueba de dos testigos idóneos, insertando íntegramente la partida. El testimonio </w:t>
      </w:r>
      <w:r w:rsidRPr="00846823">
        <w:rPr>
          <w:color w:val="000000" w:themeColor="text1"/>
        </w:rPr>
        <w:t xml:space="preserve">será presentado </w:t>
      </w:r>
      <w:r w:rsidRPr="00237099">
        <w:t xml:space="preserve">ante el Registro del Estado Civil, quien hará la anotación correspondiente al margen de la partida. </w:t>
      </w:r>
    </w:p>
    <w:p w:rsidR="00237099" w:rsidRDefault="00237099" w:rsidP="00237099">
      <w:pPr>
        <w:jc w:val="both"/>
      </w:pPr>
    </w:p>
    <w:p w:rsidR="00237099" w:rsidRDefault="00237099" w:rsidP="00DC38F6">
      <w:pPr>
        <w:ind w:left="1418" w:hanging="1418"/>
        <w:jc w:val="both"/>
      </w:pPr>
      <w:r w:rsidRPr="00237099">
        <w:rPr>
          <w:b/>
          <w:bCs/>
        </w:rPr>
        <w:t>Artículo 4</w:t>
      </w:r>
      <w:r w:rsidRPr="00237099">
        <w:t xml:space="preserve"> </w:t>
      </w:r>
      <w:r w:rsidR="00DC38F6">
        <w:tab/>
      </w:r>
      <w:r w:rsidR="00B81AB9">
        <w:t>Toda persona que se dedicaré al comercio como actividad profesional, podrá declararse y constituirse como comerciante, en escritura pública ante Notario, de acuerdo a las indicaciones del Artículo 157 de la Ley N°. 698, Ley General de los Registros Públicos. El testimonio se inscribirá en el Registro Mercantil y un aviso circunstanciado se publicará en La Gaceta, Diario Oficial o en un Diario de la Capital.</w:t>
      </w:r>
      <w:r w:rsidRPr="00237099">
        <w:t xml:space="preserve"> </w:t>
      </w:r>
    </w:p>
    <w:p w:rsidR="00237099" w:rsidRDefault="00237099" w:rsidP="00237099">
      <w:pPr>
        <w:jc w:val="both"/>
      </w:pPr>
    </w:p>
    <w:p w:rsidR="00237099" w:rsidRDefault="00237099" w:rsidP="00DC38F6">
      <w:pPr>
        <w:ind w:left="1418" w:hanging="1418"/>
        <w:jc w:val="both"/>
      </w:pPr>
      <w:r w:rsidRPr="00237099">
        <w:rPr>
          <w:b/>
          <w:bCs/>
        </w:rPr>
        <w:t>Artículo 5</w:t>
      </w:r>
      <w:r w:rsidRPr="00237099">
        <w:t xml:space="preserve"> </w:t>
      </w:r>
      <w:r w:rsidR="00DC38F6">
        <w:tab/>
      </w:r>
      <w:r w:rsidRPr="00237099">
        <w:t>La traducción de documentos a que se refiere el Código Procesal Civil de la República de Nicaragua podrá hacerse en escritura pública por un intérprete nombrado por el Notario autorizado. Así mismo, deberán constatar en escritura pública los poderes especiales de los comerciantes a favor d</w:t>
      </w:r>
      <w:r w:rsidR="00D37436">
        <w:t>e las agencias aduanera</w:t>
      </w:r>
      <w:r w:rsidR="00D37436" w:rsidRPr="00846823">
        <w:rPr>
          <w:color w:val="000000" w:themeColor="text1"/>
        </w:rPr>
        <w:t xml:space="preserve">s </w:t>
      </w:r>
      <w:r w:rsidR="00D37436">
        <w:t xml:space="preserve">para </w:t>
      </w:r>
      <w:r w:rsidR="00D37436" w:rsidRPr="00846823">
        <w:rPr>
          <w:color w:val="000000" w:themeColor="text1"/>
        </w:rPr>
        <w:t>trá</w:t>
      </w:r>
      <w:r w:rsidRPr="00846823">
        <w:rPr>
          <w:color w:val="000000" w:themeColor="text1"/>
        </w:rPr>
        <w:t xml:space="preserve">mites </w:t>
      </w:r>
      <w:r w:rsidRPr="00237099">
        <w:t xml:space="preserve">de </w:t>
      </w:r>
      <w:proofErr w:type="spellStart"/>
      <w:r w:rsidRPr="00237099">
        <w:t>desaduanaje</w:t>
      </w:r>
      <w:proofErr w:type="spellEnd"/>
      <w:r w:rsidRPr="00237099">
        <w:t xml:space="preserve">. </w:t>
      </w:r>
    </w:p>
    <w:p w:rsidR="00237099" w:rsidRDefault="00237099" w:rsidP="00237099">
      <w:pPr>
        <w:jc w:val="both"/>
      </w:pPr>
    </w:p>
    <w:p w:rsidR="00237099" w:rsidRDefault="00237099" w:rsidP="00DC38F6">
      <w:pPr>
        <w:ind w:left="1418" w:hanging="1418"/>
        <w:jc w:val="both"/>
      </w:pPr>
      <w:r w:rsidRPr="00237099">
        <w:rPr>
          <w:b/>
          <w:bCs/>
        </w:rPr>
        <w:t>Artículo 6</w:t>
      </w:r>
      <w:r w:rsidRPr="00237099">
        <w:t xml:space="preserve"> </w:t>
      </w:r>
      <w:r w:rsidR="00DC38F6">
        <w:tab/>
      </w:r>
      <w:proofErr w:type="spellStart"/>
      <w:r w:rsidRPr="00237099">
        <w:t>Derógase</w:t>
      </w:r>
      <w:proofErr w:type="spellEnd"/>
      <w:r w:rsidRPr="00237099">
        <w:t xml:space="preserve"> el Artículo 42 de la Ley de Notariado, quedando suprimida la intervención de dos testigos instrumentales, excepto en el Testamento en cuyo caso se estará a lo dispuesto por el Código Civil. </w:t>
      </w:r>
    </w:p>
    <w:p w:rsidR="00237099" w:rsidRDefault="00237099" w:rsidP="00237099">
      <w:pPr>
        <w:jc w:val="both"/>
      </w:pPr>
    </w:p>
    <w:p w:rsidR="00237099" w:rsidRDefault="00237099" w:rsidP="00DC38F6">
      <w:pPr>
        <w:ind w:left="1418" w:hanging="1418"/>
        <w:jc w:val="both"/>
      </w:pPr>
      <w:r w:rsidRPr="00237099">
        <w:rPr>
          <w:b/>
          <w:bCs/>
        </w:rPr>
        <w:t>Artículo 7</w:t>
      </w:r>
      <w:r w:rsidRPr="00237099">
        <w:t xml:space="preserve"> </w:t>
      </w:r>
      <w:r w:rsidR="00DC38F6">
        <w:tab/>
      </w:r>
      <w:r w:rsidRPr="00237099">
        <w:t xml:space="preserve">La responsabilidad del Notariado en cuanto a la identificación de las personas se limita a la de los documentos de identificación presentados, a los testigos de conocimiento en su caso, o al dicho de las partes contratantes si manifiestan conocerse. </w:t>
      </w:r>
    </w:p>
    <w:p w:rsidR="00237099" w:rsidRDefault="00237099" w:rsidP="00237099">
      <w:pPr>
        <w:jc w:val="both"/>
      </w:pPr>
    </w:p>
    <w:p w:rsidR="00237099" w:rsidRPr="00846823" w:rsidRDefault="00237099" w:rsidP="00DC38F6">
      <w:pPr>
        <w:ind w:left="1418"/>
        <w:jc w:val="both"/>
      </w:pPr>
      <w:r w:rsidRPr="00237099">
        <w:t xml:space="preserve">La falta de envío de una diligencia o aviso, será penada con multa equivalente al quíntuplo del honorario cobrado. En caso de falta o delito cometido por el Notario en el ejercicio de sus </w:t>
      </w:r>
      <w:r w:rsidR="003C0FD5">
        <w:t xml:space="preserve">funciones provenientes de esta </w:t>
      </w:r>
      <w:r w:rsidR="003C0FD5" w:rsidRPr="00846823">
        <w:t>L</w:t>
      </w:r>
      <w:r w:rsidRPr="00846823">
        <w:t xml:space="preserve">ey, se aplicarán las leyes vigentes. </w:t>
      </w:r>
    </w:p>
    <w:p w:rsidR="00237099" w:rsidRPr="00846823" w:rsidRDefault="00237099" w:rsidP="00237099">
      <w:pPr>
        <w:jc w:val="both"/>
      </w:pPr>
    </w:p>
    <w:p w:rsidR="00237099" w:rsidRDefault="00237099" w:rsidP="00DC38F6">
      <w:pPr>
        <w:ind w:left="1418" w:hanging="1418"/>
        <w:jc w:val="both"/>
      </w:pPr>
      <w:r w:rsidRPr="00846823">
        <w:rPr>
          <w:b/>
          <w:bCs/>
        </w:rPr>
        <w:t>Artículo 8</w:t>
      </w:r>
      <w:r w:rsidRPr="00846823">
        <w:t xml:space="preserve"> </w:t>
      </w:r>
      <w:r w:rsidR="00DC38F6" w:rsidRPr="00846823">
        <w:tab/>
      </w:r>
      <w:r w:rsidRPr="00846823">
        <w:t xml:space="preserve">Las facultades conferidas al Notario mediante la presente </w:t>
      </w:r>
      <w:r w:rsidR="003C0FD5" w:rsidRPr="00846823">
        <w:t>L</w:t>
      </w:r>
      <w:r w:rsidRPr="00846823">
        <w:t>ey</w:t>
      </w:r>
      <w:r w:rsidRPr="00237099">
        <w:t xml:space="preserve"> solamente podrán ser utilizadas por aquellos Notarios que hubieren cumplido por lo menos diez años de haberse incorporado como Abogado o Notario en la Corte Suprema de Justicia. </w:t>
      </w:r>
    </w:p>
    <w:p w:rsidR="00237099" w:rsidRDefault="00237099" w:rsidP="00237099">
      <w:pPr>
        <w:jc w:val="both"/>
      </w:pPr>
    </w:p>
    <w:p w:rsidR="00237099" w:rsidRDefault="00237099" w:rsidP="00DC38F6">
      <w:pPr>
        <w:ind w:left="1418" w:hanging="1418"/>
        <w:jc w:val="both"/>
      </w:pPr>
      <w:r w:rsidRPr="00237099">
        <w:rPr>
          <w:b/>
          <w:bCs/>
        </w:rPr>
        <w:t>Artículo 9</w:t>
      </w:r>
      <w:r w:rsidRPr="00237099">
        <w:t xml:space="preserve"> </w:t>
      </w:r>
      <w:r w:rsidR="00DC38F6">
        <w:tab/>
      </w:r>
      <w:r w:rsidRPr="00237099">
        <w:t xml:space="preserve">La presente </w:t>
      </w:r>
      <w:r w:rsidR="003C0FD5" w:rsidRPr="00846823">
        <w:t>L</w:t>
      </w:r>
      <w:r w:rsidRPr="00237099">
        <w:t xml:space="preserve">ey entrará en vigencia a partir de su publicación en La Gaceta, Diario Oficial. </w:t>
      </w:r>
    </w:p>
    <w:p w:rsidR="00237099" w:rsidRDefault="00237099" w:rsidP="00237099">
      <w:pPr>
        <w:jc w:val="both"/>
      </w:pPr>
    </w:p>
    <w:p w:rsidR="00237099" w:rsidRDefault="00237099" w:rsidP="00593C29">
      <w:pPr>
        <w:jc w:val="both"/>
      </w:pPr>
      <w:r w:rsidRPr="00237099">
        <w:t xml:space="preserve">Dado en la Sala de Sesiones de la Asamblea Nacional, a los veintiocho días del mes de noviembre </w:t>
      </w:r>
      <w:r w:rsidRPr="00857151">
        <w:t xml:space="preserve">de </w:t>
      </w:r>
      <w:r w:rsidR="00501203" w:rsidRPr="00857151">
        <w:t>mil novecientos noventa y uno</w:t>
      </w:r>
      <w:r w:rsidRPr="00857151">
        <w:t xml:space="preserve">.- </w:t>
      </w:r>
      <w:r w:rsidRPr="00237099">
        <w:rPr>
          <w:b/>
          <w:bCs/>
        </w:rPr>
        <w:t xml:space="preserve">Alfredo César Aguirre. </w:t>
      </w:r>
      <w:r w:rsidRPr="00237099">
        <w:t xml:space="preserve">Presidente de la Asamblea </w:t>
      </w:r>
      <w:r w:rsidR="00116D78" w:rsidRPr="00237099">
        <w:t>Nacional.-</w:t>
      </w:r>
      <w:r w:rsidRPr="00237099">
        <w:t xml:space="preserve"> </w:t>
      </w:r>
      <w:r w:rsidRPr="00237099">
        <w:rPr>
          <w:b/>
          <w:bCs/>
        </w:rPr>
        <w:t xml:space="preserve">William </w:t>
      </w:r>
      <w:proofErr w:type="spellStart"/>
      <w:r w:rsidRPr="00237099">
        <w:rPr>
          <w:b/>
          <w:bCs/>
        </w:rPr>
        <w:t>Frech</w:t>
      </w:r>
      <w:proofErr w:type="spellEnd"/>
      <w:r w:rsidRPr="00237099">
        <w:rPr>
          <w:b/>
          <w:bCs/>
        </w:rPr>
        <w:t xml:space="preserve"> </w:t>
      </w:r>
      <w:proofErr w:type="spellStart"/>
      <w:r w:rsidRPr="00237099">
        <w:rPr>
          <w:b/>
          <w:bCs/>
        </w:rPr>
        <w:t>Frech</w:t>
      </w:r>
      <w:proofErr w:type="spellEnd"/>
      <w:r w:rsidRPr="00237099">
        <w:rPr>
          <w:b/>
          <w:bCs/>
        </w:rPr>
        <w:t xml:space="preserve">. </w:t>
      </w:r>
      <w:r w:rsidRPr="00237099">
        <w:t xml:space="preserve">Secretario de la Asamblea Nacional. </w:t>
      </w:r>
    </w:p>
    <w:p w:rsidR="00237099" w:rsidRDefault="00237099" w:rsidP="00237099">
      <w:pPr>
        <w:jc w:val="both"/>
      </w:pPr>
    </w:p>
    <w:p w:rsidR="00237099" w:rsidRDefault="00237099" w:rsidP="00593C29">
      <w:pPr>
        <w:jc w:val="both"/>
      </w:pPr>
      <w:r w:rsidRPr="00237099">
        <w:t xml:space="preserve">Por no haber sancionado, ni promulgado, ni mandado a publicar el Presidente de la República, la presente Ley, en acatamiento en lo dispuesto en el Artículo 142 CN., en mi carácter de Presidente de la Asamblea Nacional mando a publicarla. Dado en la ciudad de Managua, a los catorce días del mes de enero de mil novecientos noventa y </w:t>
      </w:r>
      <w:r w:rsidR="00205283" w:rsidRPr="00237099">
        <w:t>dos. -</w:t>
      </w:r>
      <w:r w:rsidRPr="00237099">
        <w:t xml:space="preserve"> </w:t>
      </w:r>
      <w:r w:rsidRPr="00237099">
        <w:rPr>
          <w:b/>
          <w:bCs/>
        </w:rPr>
        <w:t xml:space="preserve">Alfredo César Aguirre. </w:t>
      </w:r>
      <w:r w:rsidRPr="00237099">
        <w:t xml:space="preserve">Presidente Asamblea Nacional. </w:t>
      </w:r>
    </w:p>
    <w:p w:rsidR="00237099" w:rsidRDefault="00237099" w:rsidP="00237099">
      <w:pPr>
        <w:jc w:val="both"/>
      </w:pPr>
    </w:p>
    <w:p w:rsidR="00237099" w:rsidRDefault="00237099" w:rsidP="00237099">
      <w:pPr>
        <w:jc w:val="both"/>
      </w:pPr>
      <w:r w:rsidRPr="00237099">
        <w:rPr>
          <w:b/>
          <w:bCs/>
        </w:rPr>
        <w:t>NOTA DE CONSOLIDACIÓN.</w:t>
      </w:r>
      <w:r w:rsidRPr="00237099">
        <w:t xml:space="preserve"> Este texto contiene incorporadas las modificaciones producidas por</w:t>
      </w:r>
      <w:r w:rsidR="00E12393">
        <w:t>:</w:t>
      </w:r>
      <w:r w:rsidRPr="00237099">
        <w:t xml:space="preserve"> </w:t>
      </w:r>
      <w:r w:rsidR="00E12393">
        <w:t>1.</w:t>
      </w:r>
      <w:r w:rsidR="004A4E9B">
        <w:t xml:space="preserve"> Ley N°. 698, Ley General de los Registros Públicos, publicada en La Gaceta, Diario Oficial N° 239 del 17 de diciembre de 2009</w:t>
      </w:r>
      <w:r w:rsidR="00E175F8">
        <w:t>;</w:t>
      </w:r>
      <w:r w:rsidR="00E12393">
        <w:t xml:space="preserve"> 2. L</w:t>
      </w:r>
      <w:r w:rsidR="00501203">
        <w:t>ey N°. 870, Código de Familia</w:t>
      </w:r>
      <w:r w:rsidR="00501203" w:rsidRPr="00846823">
        <w:t>, p</w:t>
      </w:r>
      <w:r w:rsidR="00E12393" w:rsidRPr="00846823">
        <w:t>ublicado en La Gaceta, Diario Oficial N°. 190</w:t>
      </w:r>
      <w:r w:rsidR="00E12393" w:rsidRPr="00846823">
        <w:rPr>
          <w:color w:val="FF0000"/>
        </w:rPr>
        <w:t xml:space="preserve"> </w:t>
      </w:r>
      <w:r w:rsidR="00E12393" w:rsidRPr="00846823">
        <w:t>del 08 de octubre de 2014</w:t>
      </w:r>
      <w:r w:rsidR="008E4C98" w:rsidRPr="00846823">
        <w:t>;</w:t>
      </w:r>
      <w:r w:rsidR="00E12393" w:rsidRPr="00846823">
        <w:t xml:space="preserve"> </w:t>
      </w:r>
      <w:r w:rsidR="008E4C98" w:rsidRPr="00846823">
        <w:t>y</w:t>
      </w:r>
      <w:r w:rsidR="00E12393" w:rsidRPr="00846823">
        <w:t xml:space="preserve"> </w:t>
      </w:r>
      <w:r w:rsidR="00E12393" w:rsidRPr="00846823">
        <w:rPr>
          <w:color w:val="000000" w:themeColor="text1"/>
        </w:rPr>
        <w:t xml:space="preserve">3. </w:t>
      </w:r>
      <w:r w:rsidR="008E4C98" w:rsidRPr="00846823">
        <w:rPr>
          <w:color w:val="000000" w:themeColor="text1"/>
        </w:rPr>
        <w:t xml:space="preserve">Ley </w:t>
      </w:r>
      <w:r w:rsidR="00E12393" w:rsidRPr="00846823">
        <w:t>N°. 902, Código Procesal Civil de la República de Nicaragua, publicado en La Gaceta, Diario</w:t>
      </w:r>
      <w:r w:rsidR="00E12393">
        <w:t xml:space="preserve"> Oficial N°. 191 del 09 de octubre de 2015.</w:t>
      </w:r>
      <w:bookmarkStart w:id="0" w:name="_GoBack"/>
      <w:bookmarkEnd w:id="0"/>
    </w:p>
    <w:p w:rsidR="00237099" w:rsidRDefault="00237099" w:rsidP="00237099">
      <w:pPr>
        <w:jc w:val="both"/>
      </w:pPr>
    </w:p>
    <w:p w:rsidR="00237099" w:rsidRDefault="00237099" w:rsidP="00237099">
      <w:pPr>
        <w:jc w:val="both"/>
      </w:pPr>
      <w:r w:rsidRPr="00237099">
        <w:t xml:space="preserve">Dado en el Salón de Sesiones de la Asamblea Nacional, en la ciudad de Managua a los </w:t>
      </w:r>
      <w:r w:rsidR="0075252F">
        <w:rPr>
          <w:bCs/>
        </w:rPr>
        <w:t>veinticinco</w:t>
      </w:r>
      <w:r w:rsidRPr="00237099">
        <w:t xml:space="preserve"> días del mes de </w:t>
      </w:r>
      <w:r w:rsidR="00D139B8">
        <w:t>noviembre</w:t>
      </w:r>
      <w:r w:rsidRPr="00237099">
        <w:t xml:space="preserve"> del año </w:t>
      </w:r>
      <w:r w:rsidR="006A3C28">
        <w:t>dos mil veintiuno</w:t>
      </w:r>
      <w:r w:rsidRPr="00237099">
        <w:t xml:space="preserve">. </w:t>
      </w:r>
    </w:p>
    <w:p w:rsidR="00237099" w:rsidRDefault="00237099" w:rsidP="00237099">
      <w:pPr>
        <w:jc w:val="both"/>
      </w:pPr>
    </w:p>
    <w:p w:rsidR="008E4C98" w:rsidRDefault="008E4C98" w:rsidP="00237099">
      <w:pPr>
        <w:jc w:val="both"/>
      </w:pPr>
    </w:p>
    <w:p w:rsidR="00237099" w:rsidRDefault="00237099" w:rsidP="00237099">
      <w:pPr>
        <w:jc w:val="center"/>
      </w:pPr>
      <w:r w:rsidRPr="00237099">
        <w:rPr>
          <w:b/>
          <w:bCs/>
        </w:rPr>
        <w:t>Dip. Loria Raquel Dixon Brautigam</w:t>
      </w:r>
    </w:p>
    <w:p w:rsidR="000B3CB5" w:rsidRDefault="00237099" w:rsidP="00237099">
      <w:pPr>
        <w:jc w:val="center"/>
      </w:pPr>
      <w:r w:rsidRPr="00237099">
        <w:t xml:space="preserve">Primera Secretaria de la </w:t>
      </w:r>
    </w:p>
    <w:p w:rsidR="00B52F46" w:rsidRPr="00237099" w:rsidRDefault="00237099" w:rsidP="00237099">
      <w:pPr>
        <w:jc w:val="center"/>
      </w:pPr>
      <w:r w:rsidRPr="00237099">
        <w:t>Asamblea Nacional</w:t>
      </w:r>
    </w:p>
    <w:sectPr w:rsidR="00B52F46" w:rsidRPr="00237099" w:rsidSect="009B0A08">
      <w:headerReference w:type="default" r:id="rId6"/>
      <w:footerReference w:type="default" r:id="rId7"/>
      <w:footerReference w:type="first" r:id="rId8"/>
      <w:pgSz w:w="12240" w:h="15840" w:code="1"/>
      <w:pgMar w:top="1985" w:right="1701" w:bottom="1701" w:left="1701" w:header="141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AB" w:rsidRDefault="006029AB" w:rsidP="00237099">
      <w:r>
        <w:separator/>
      </w:r>
    </w:p>
  </w:endnote>
  <w:endnote w:type="continuationSeparator" w:id="0">
    <w:p w:rsidR="006029AB" w:rsidRDefault="006029AB" w:rsidP="0023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82792"/>
      <w:docPartObj>
        <w:docPartGallery w:val="Page Numbers (Bottom of Page)"/>
        <w:docPartUnique/>
      </w:docPartObj>
    </w:sdtPr>
    <w:sdtEndPr/>
    <w:sdtContent>
      <w:sdt>
        <w:sdtPr>
          <w:id w:val="1728636285"/>
          <w:docPartObj>
            <w:docPartGallery w:val="Page Numbers (Top of Page)"/>
            <w:docPartUnique/>
          </w:docPartObj>
        </w:sdtPr>
        <w:sdtEndPr/>
        <w:sdtContent>
          <w:p w:rsidR="009B0A08" w:rsidRDefault="009B0A08">
            <w:pPr>
              <w:pStyle w:val="Piedepgina"/>
              <w:jc w:val="center"/>
            </w:pPr>
            <w:r>
              <w:rPr>
                <w:b/>
                <w:bCs/>
                <w:sz w:val="24"/>
                <w:szCs w:val="24"/>
              </w:rPr>
              <w:fldChar w:fldCharType="begin"/>
            </w:r>
            <w:r>
              <w:rPr>
                <w:b/>
                <w:bCs/>
              </w:rPr>
              <w:instrText>PAGE</w:instrText>
            </w:r>
            <w:r>
              <w:rPr>
                <w:b/>
                <w:bCs/>
                <w:sz w:val="24"/>
                <w:szCs w:val="24"/>
              </w:rPr>
              <w:fldChar w:fldCharType="separate"/>
            </w:r>
            <w:r w:rsidR="00E175F8">
              <w:rPr>
                <w:b/>
                <w:bCs/>
                <w:noProof/>
              </w:rPr>
              <w:t>3</w:t>
            </w:r>
            <w:r>
              <w:rPr>
                <w:b/>
                <w:bCs/>
                <w:sz w:val="24"/>
                <w:szCs w:val="24"/>
              </w:rPr>
              <w:fldChar w:fldCharType="end"/>
            </w:r>
            <w:r>
              <w:rPr>
                <w:lang w:val="es-ES"/>
              </w:rPr>
              <w:t>/</w:t>
            </w:r>
            <w:r>
              <w:rPr>
                <w:b/>
                <w:bCs/>
                <w:sz w:val="24"/>
                <w:szCs w:val="24"/>
              </w:rPr>
              <w:fldChar w:fldCharType="begin"/>
            </w:r>
            <w:r>
              <w:rPr>
                <w:b/>
                <w:bCs/>
              </w:rPr>
              <w:instrText>NUMPAGES</w:instrText>
            </w:r>
            <w:r>
              <w:rPr>
                <w:b/>
                <w:bCs/>
                <w:sz w:val="24"/>
                <w:szCs w:val="24"/>
              </w:rPr>
              <w:fldChar w:fldCharType="separate"/>
            </w:r>
            <w:r w:rsidR="00E175F8">
              <w:rPr>
                <w:b/>
                <w:bCs/>
                <w:noProof/>
              </w:rPr>
              <w:t>3</w:t>
            </w:r>
            <w:r>
              <w:rPr>
                <w:b/>
                <w:bCs/>
                <w:sz w:val="24"/>
                <w:szCs w:val="24"/>
              </w:rPr>
              <w:fldChar w:fldCharType="end"/>
            </w:r>
          </w:p>
        </w:sdtContent>
      </w:sdt>
    </w:sdtContent>
  </w:sdt>
  <w:p w:rsidR="00237099" w:rsidRPr="004E4FA6" w:rsidRDefault="00237099" w:rsidP="009B0A08">
    <w:pPr>
      <w:pStyle w:val="Piedepgina"/>
      <w:tabs>
        <w:tab w:val="clear" w:pos="8838"/>
        <w:tab w:val="left" w:pos="5040"/>
      </w:tabs>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8" w:rsidRDefault="006029AB" w:rsidP="009B0A08">
    <w:pPr>
      <w:pStyle w:val="Piedepgina"/>
      <w:jc w:val="center"/>
    </w:pPr>
    <w:sdt>
      <w:sdtPr>
        <w:id w:val="-1307707323"/>
        <w:docPartObj>
          <w:docPartGallery w:val="Page Numbers (Top of Page)"/>
          <w:docPartUnique/>
        </w:docPartObj>
      </w:sdtPr>
      <w:sdtEndPr/>
      <w:sdtContent>
        <w:r w:rsidR="009B0A08">
          <w:rPr>
            <w:b/>
            <w:bCs/>
            <w:sz w:val="24"/>
            <w:szCs w:val="24"/>
          </w:rPr>
          <w:fldChar w:fldCharType="begin"/>
        </w:r>
        <w:r w:rsidR="009B0A08">
          <w:rPr>
            <w:b/>
            <w:bCs/>
          </w:rPr>
          <w:instrText>PAGE</w:instrText>
        </w:r>
        <w:r w:rsidR="009B0A08">
          <w:rPr>
            <w:b/>
            <w:bCs/>
            <w:sz w:val="24"/>
            <w:szCs w:val="24"/>
          </w:rPr>
          <w:fldChar w:fldCharType="separate"/>
        </w:r>
        <w:r w:rsidR="00E175F8">
          <w:rPr>
            <w:b/>
            <w:bCs/>
            <w:noProof/>
          </w:rPr>
          <w:t>1</w:t>
        </w:r>
        <w:r w:rsidR="009B0A08">
          <w:rPr>
            <w:b/>
            <w:bCs/>
            <w:sz w:val="24"/>
            <w:szCs w:val="24"/>
          </w:rPr>
          <w:fldChar w:fldCharType="end"/>
        </w:r>
        <w:r w:rsidR="009B0A08">
          <w:rPr>
            <w:lang w:val="es-ES"/>
          </w:rPr>
          <w:t>/</w:t>
        </w:r>
        <w:r w:rsidR="009B0A08">
          <w:rPr>
            <w:b/>
            <w:bCs/>
            <w:sz w:val="24"/>
            <w:szCs w:val="24"/>
          </w:rPr>
          <w:fldChar w:fldCharType="begin"/>
        </w:r>
        <w:r w:rsidR="009B0A08">
          <w:rPr>
            <w:b/>
            <w:bCs/>
          </w:rPr>
          <w:instrText>NUMPAGES</w:instrText>
        </w:r>
        <w:r w:rsidR="009B0A08">
          <w:rPr>
            <w:b/>
            <w:bCs/>
            <w:sz w:val="24"/>
            <w:szCs w:val="24"/>
          </w:rPr>
          <w:fldChar w:fldCharType="separate"/>
        </w:r>
        <w:r w:rsidR="00E175F8">
          <w:rPr>
            <w:b/>
            <w:bCs/>
            <w:noProof/>
          </w:rPr>
          <w:t>3</w:t>
        </w:r>
        <w:r w:rsidR="009B0A08">
          <w:rPr>
            <w:b/>
            <w:bCs/>
            <w:sz w:val="24"/>
            <w:szCs w:val="24"/>
          </w:rPr>
          <w:fldChar w:fldCharType="end"/>
        </w:r>
      </w:sdtContent>
    </w:sdt>
  </w:p>
  <w:p w:rsidR="009B0A08" w:rsidRDefault="009B0A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AB" w:rsidRDefault="006029AB" w:rsidP="00237099">
      <w:r>
        <w:separator/>
      </w:r>
    </w:p>
  </w:footnote>
  <w:footnote w:type="continuationSeparator" w:id="0">
    <w:p w:rsidR="006029AB" w:rsidRDefault="006029AB" w:rsidP="00237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A7" w:rsidRDefault="008727A7" w:rsidP="00DB4767">
    <w:pPr>
      <w:pStyle w:val="Encabezado"/>
      <w:jc w:val="right"/>
      <w:rPr>
        <w:sz w:val="18"/>
        <w:szCs w:val="18"/>
      </w:rPr>
    </w:pPr>
    <w:r w:rsidRPr="000D3934">
      <w:rPr>
        <w:sz w:val="18"/>
        <w:szCs w:val="18"/>
      </w:rPr>
      <w:t>Ley del Digesto Jurídico Nicaragüense</w:t>
    </w:r>
    <w:r w:rsidR="00DB4767" w:rsidRPr="000D3934">
      <w:rPr>
        <w:sz w:val="18"/>
        <w:szCs w:val="18"/>
      </w:rPr>
      <w:t xml:space="preserve"> </w:t>
    </w:r>
    <w:r w:rsidR="00157D1B">
      <w:rPr>
        <w:sz w:val="18"/>
        <w:szCs w:val="18"/>
      </w:rPr>
      <w:t>de la Materia Civil</w:t>
    </w:r>
  </w:p>
  <w:p w:rsidR="00694790" w:rsidRPr="00694790" w:rsidRDefault="00694790" w:rsidP="00DB4767">
    <w:pPr>
      <w:pStyle w:val="Encabezado"/>
      <w:jc w:val="right"/>
      <w:rPr>
        <w:sz w:val="18"/>
        <w:szCs w:val="18"/>
      </w:rPr>
    </w:pPr>
    <w:r w:rsidRPr="00694790">
      <w:rPr>
        <w:sz w:val="18"/>
        <w:szCs w:val="18"/>
      </w:rPr>
      <w:t>Ley N°. 139, Ley que da Mayor Utilidad a la Institución del Notariado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35"/>
    <w:rsid w:val="000B3CB5"/>
    <w:rsid w:val="000D3934"/>
    <w:rsid w:val="00116D78"/>
    <w:rsid w:val="001320FE"/>
    <w:rsid w:val="00157D1B"/>
    <w:rsid w:val="00193AC3"/>
    <w:rsid w:val="001A0544"/>
    <w:rsid w:val="00205283"/>
    <w:rsid w:val="00237099"/>
    <w:rsid w:val="002E7022"/>
    <w:rsid w:val="00375444"/>
    <w:rsid w:val="003C0FD5"/>
    <w:rsid w:val="00463015"/>
    <w:rsid w:val="004A4E9B"/>
    <w:rsid w:val="004C0ACE"/>
    <w:rsid w:val="004E4FA6"/>
    <w:rsid w:val="00501203"/>
    <w:rsid w:val="00523E99"/>
    <w:rsid w:val="00530C4B"/>
    <w:rsid w:val="00593C29"/>
    <w:rsid w:val="005A3A0F"/>
    <w:rsid w:val="006029AB"/>
    <w:rsid w:val="00632C31"/>
    <w:rsid w:val="00687784"/>
    <w:rsid w:val="00694790"/>
    <w:rsid w:val="006A3C28"/>
    <w:rsid w:val="0075252F"/>
    <w:rsid w:val="007F3319"/>
    <w:rsid w:val="00837322"/>
    <w:rsid w:val="0083737B"/>
    <w:rsid w:val="00846823"/>
    <w:rsid w:val="00857151"/>
    <w:rsid w:val="008727A7"/>
    <w:rsid w:val="008730D5"/>
    <w:rsid w:val="00877037"/>
    <w:rsid w:val="008D648C"/>
    <w:rsid w:val="008E4C98"/>
    <w:rsid w:val="009742B4"/>
    <w:rsid w:val="009A3B51"/>
    <w:rsid w:val="009B0A08"/>
    <w:rsid w:val="009F0A5D"/>
    <w:rsid w:val="00A30D51"/>
    <w:rsid w:val="00A45FFD"/>
    <w:rsid w:val="00B52F46"/>
    <w:rsid w:val="00B81AB9"/>
    <w:rsid w:val="00CC2161"/>
    <w:rsid w:val="00D06780"/>
    <w:rsid w:val="00D139B8"/>
    <w:rsid w:val="00D37436"/>
    <w:rsid w:val="00D407E4"/>
    <w:rsid w:val="00D424B4"/>
    <w:rsid w:val="00D81214"/>
    <w:rsid w:val="00D95AD3"/>
    <w:rsid w:val="00DB4767"/>
    <w:rsid w:val="00DC38F6"/>
    <w:rsid w:val="00E12393"/>
    <w:rsid w:val="00E175F8"/>
    <w:rsid w:val="00E328E0"/>
    <w:rsid w:val="00EB7517"/>
    <w:rsid w:val="00EF5435"/>
    <w:rsid w:val="00F1159E"/>
    <w:rsid w:val="00F85DC1"/>
    <w:rsid w:val="00FD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24515"/>
  <w15:chartTrackingRefBased/>
  <w15:docId w15:val="{278A1B10-12C3-46DE-A754-0AB555AB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line">
    <w:name w:val="inline"/>
    <w:basedOn w:val="Fuentedeprrafopredeter"/>
    <w:rsid w:val="00237099"/>
  </w:style>
  <w:style w:type="paragraph" w:styleId="Encabezado">
    <w:name w:val="header"/>
    <w:basedOn w:val="Normal"/>
    <w:link w:val="EncabezadoCar"/>
    <w:uiPriority w:val="99"/>
    <w:unhideWhenUsed/>
    <w:rsid w:val="00237099"/>
    <w:pPr>
      <w:tabs>
        <w:tab w:val="center" w:pos="4419"/>
        <w:tab w:val="right" w:pos="8838"/>
      </w:tabs>
    </w:pPr>
  </w:style>
  <w:style w:type="character" w:customStyle="1" w:styleId="EncabezadoCar">
    <w:name w:val="Encabezado Car"/>
    <w:basedOn w:val="Fuentedeprrafopredeter"/>
    <w:link w:val="Encabezado"/>
    <w:uiPriority w:val="99"/>
    <w:rsid w:val="00237099"/>
    <w:rPr>
      <w:lang w:val="es-NI"/>
    </w:rPr>
  </w:style>
  <w:style w:type="paragraph" w:styleId="Piedepgina">
    <w:name w:val="footer"/>
    <w:basedOn w:val="Normal"/>
    <w:link w:val="PiedepginaCar"/>
    <w:uiPriority w:val="99"/>
    <w:unhideWhenUsed/>
    <w:rsid w:val="00237099"/>
    <w:pPr>
      <w:tabs>
        <w:tab w:val="center" w:pos="4419"/>
        <w:tab w:val="right" w:pos="8838"/>
      </w:tabs>
    </w:pPr>
  </w:style>
  <w:style w:type="character" w:customStyle="1" w:styleId="PiedepginaCar">
    <w:name w:val="Pie de página Car"/>
    <w:basedOn w:val="Fuentedeprrafopredeter"/>
    <w:link w:val="Piedepgina"/>
    <w:uiPriority w:val="99"/>
    <w:rsid w:val="00237099"/>
    <w:rPr>
      <w:lang w:val="es-NI"/>
    </w:rPr>
  </w:style>
  <w:style w:type="paragraph" w:styleId="Textoindependiente">
    <w:name w:val="Body Text"/>
    <w:basedOn w:val="Normal"/>
    <w:link w:val="TextoindependienteCar"/>
    <w:uiPriority w:val="1"/>
    <w:qFormat/>
    <w:rsid w:val="00DC38F6"/>
    <w:pPr>
      <w:widowControl w:val="0"/>
      <w:autoSpaceDE w:val="0"/>
      <w:autoSpaceDN w:val="0"/>
      <w:adjustRightInd w:val="0"/>
      <w:ind w:left="105"/>
    </w:pPr>
    <w:rPr>
      <w:rFonts w:eastAsiaTheme="minorEastAsia"/>
      <w:sz w:val="24"/>
      <w:szCs w:val="24"/>
      <w:lang w:eastAsia="es-NI"/>
    </w:rPr>
  </w:style>
  <w:style w:type="character" w:customStyle="1" w:styleId="TextoindependienteCar">
    <w:name w:val="Texto independiente Car"/>
    <w:basedOn w:val="Fuentedeprrafopredeter"/>
    <w:link w:val="Textoindependiente"/>
    <w:uiPriority w:val="1"/>
    <w:rsid w:val="00DC38F6"/>
    <w:rPr>
      <w:rFonts w:eastAsiaTheme="minorEastAsia"/>
      <w:sz w:val="24"/>
      <w:szCs w:val="24"/>
      <w:lang w:val="es-NI" w:eastAsia="es-NI"/>
    </w:rPr>
  </w:style>
  <w:style w:type="character" w:customStyle="1" w:styleId="Ttulo1">
    <w:name w:val="Título #1_"/>
    <w:link w:val="Ttulo10"/>
    <w:locked/>
    <w:rsid w:val="00DC38F6"/>
    <w:rPr>
      <w:b/>
      <w:shd w:val="clear" w:color="auto" w:fill="FFFFFF"/>
    </w:rPr>
  </w:style>
  <w:style w:type="paragraph" w:customStyle="1" w:styleId="Ttulo10">
    <w:name w:val="Título #1"/>
    <w:basedOn w:val="Normal"/>
    <w:link w:val="Ttulo1"/>
    <w:rsid w:val="00DC38F6"/>
    <w:pPr>
      <w:widowControl w:val="0"/>
      <w:shd w:val="clear" w:color="auto" w:fill="FFFFFF"/>
      <w:spacing w:before="360" w:after="360" w:line="240" w:lineRule="atLeast"/>
      <w:jc w:val="center"/>
      <w:outlineLvl w:val="0"/>
    </w:pPr>
    <w:rPr>
      <w:b/>
      <w:lang w:val="en-US"/>
    </w:rPr>
  </w:style>
  <w:style w:type="character" w:customStyle="1" w:styleId="Cuerpodeltexto2">
    <w:name w:val="Cuerpo del texto (2)_"/>
    <w:link w:val="Cuerpodeltexto20"/>
    <w:locked/>
    <w:rsid w:val="00DC38F6"/>
    <w:rPr>
      <w:shd w:val="clear" w:color="auto" w:fill="FFFFFF"/>
    </w:rPr>
  </w:style>
  <w:style w:type="paragraph" w:customStyle="1" w:styleId="Cuerpodeltexto20">
    <w:name w:val="Cuerpo del texto (2)"/>
    <w:basedOn w:val="Normal"/>
    <w:link w:val="Cuerpodeltexto2"/>
    <w:rsid w:val="00DC38F6"/>
    <w:pPr>
      <w:widowControl w:val="0"/>
      <w:shd w:val="clear" w:color="auto" w:fill="FFFFFF"/>
      <w:spacing w:before="360" w:line="288" w:lineRule="exact"/>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Ivania del Carmén Robelo Gutiérrez</dc:creator>
  <cp:keywords/>
  <dc:description/>
  <cp:lastModifiedBy>SEV</cp:lastModifiedBy>
  <cp:revision>4</cp:revision>
  <dcterms:created xsi:type="dcterms:W3CDTF">2022-09-05T16:40:00Z</dcterms:created>
  <dcterms:modified xsi:type="dcterms:W3CDTF">2022-09-05T18:05:00Z</dcterms:modified>
</cp:coreProperties>
</file>